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E" w:rsidRPr="0068087E" w:rsidRDefault="0068087E" w:rsidP="0068087E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ru-RU"/>
        </w:rPr>
      </w:pPr>
      <w:r w:rsidRPr="0068087E">
        <w:rPr>
          <w:rFonts w:ascii="inherit" w:eastAsia="Times New Roman" w:hAnsi="inherit" w:cs="Times New Roman"/>
          <w:caps/>
          <w:kern w:val="36"/>
          <w:sz w:val="50"/>
          <w:szCs w:val="50"/>
          <w:lang w:eastAsia="ru-RU"/>
        </w:rPr>
        <w:t>ПРОТИВОДЕЙСТВИЕ ИДЕОЛОГИИ ТЕРРОРИЗМА И ЭКСТРЕМИЗМА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010101"/>
          <w:sz w:val="30"/>
          <w:szCs w:val="30"/>
          <w:lang w:eastAsia="ru-RU"/>
        </w:rPr>
      </w:pPr>
      <w:r w:rsidRPr="0068087E">
        <w:rPr>
          <w:rFonts w:ascii="inherit" w:eastAsia="Times New Roman" w:hAnsi="inherit" w:cs="Arial"/>
          <w:b/>
          <w:bCs/>
          <w:color w:val="010101"/>
          <w:sz w:val="30"/>
          <w:szCs w:val="30"/>
          <w:bdr w:val="none" w:sz="0" w:space="0" w:color="auto" w:frame="1"/>
          <w:lang w:eastAsia="ru-RU"/>
        </w:rPr>
        <w:t>2020-2021 учебный год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ЕСЛИ ВЫ ОБЛАДАЕТЕ ЛЮБОЙ ИНФОРМАЦИЕЙ О СОВЕРШЕННЫХ ИЛИ ГОТОВЯЩИХСЯ ТЕРАКТАХ, ПРОСЬБА ОБРАЩАТЬСЯ В ФСБ РОССИИ ПО ТЕЛЕФОНУ (495) 224-2222, (495) 914-43-69 (круглосуточно) 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br/>
      </w:r>
      <w:r w:rsidRPr="0068087E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ИЛИ ОТПРАВИТЬ ЭЛЕКТРОННОЕ СООБЩЕНИЕ ПО АДРЕСУ: </w:t>
      </w:r>
      <w:hyperlink r:id="rId6" w:history="1">
        <w:r w:rsidRPr="0068087E">
          <w:rPr>
            <w:rFonts w:ascii="inherit" w:eastAsia="Times New Roman" w:hAnsi="inherit" w:cs="Arial"/>
            <w:b/>
            <w:bCs/>
            <w:color w:val="0C798A"/>
            <w:sz w:val="27"/>
            <w:szCs w:val="27"/>
            <w:u w:val="single"/>
            <w:bdr w:val="none" w:sz="0" w:space="0" w:color="auto" w:frame="1"/>
            <w:lang w:eastAsia="ru-RU"/>
          </w:rPr>
          <w:t>fsb@fsb.ru</w:t>
        </w:r>
      </w:hyperlink>
    </w:p>
    <w:p w:rsidR="0068087E" w:rsidRPr="0068087E" w:rsidRDefault="0068087E" w:rsidP="0068087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Терроризм – устрашение своих противников, выражающееся в физическом насилии, вплоть до уничтожения. Террорист – участник или сторонник актов террора. Очень страшные и неприятные слова. Но слишком часто они стали звучать в нашей речи. Терроризм стал бедой для всех. Сколько детей и взрослых гибнет во время террористических актов! Это и захват школы в городе Беслане, взрыв небоскрёбов в Америке, взрывы в метро в Москве, взрывы в Дагестане. Будьте Внимательны!</w:t>
      </w:r>
    </w:p>
    <w:p w:rsidR="0068087E" w:rsidRPr="0068087E" w:rsidRDefault="0068087E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</w:p>
    <w:p w:rsidR="0068087E" w:rsidRPr="0068087E" w:rsidRDefault="0068087E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7C328B4" wp14:editId="54FD5289">
            <wp:extent cx="2312377" cy="2347546"/>
            <wp:effectExtent l="0" t="0" r="0" b="0"/>
            <wp:docPr id="2" name="Рисунок 2" descr="http://stpohv.minobr63.ru/wp-content/uploads/2015/12/3801_8-150x15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pohv.minobr63.ru/wp-content/uploads/2015/12/3801_8-150x15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56" cy="234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78F"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6A527EE" wp14:editId="18F9BF90">
            <wp:extent cx="2338754" cy="2338754"/>
            <wp:effectExtent l="0" t="0" r="4445" b="4445"/>
            <wp:docPr id="8" name="Рисунок 8" descr="http://stpohv.minobr63.ru/wp-content/uploads/2015/12/3801_5-150x15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pohv.minobr63.ru/wp-content/uploads/2015/12/3801_5-150x1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34" cy="23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</w:p>
    <w:p w:rsidR="0068087E" w:rsidRPr="0068087E" w:rsidRDefault="0068087E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2A56F6D" wp14:editId="4FB0A906">
            <wp:extent cx="2294792" cy="2294792"/>
            <wp:effectExtent l="0" t="0" r="0" b="0"/>
            <wp:docPr id="4" name="Рисунок 4" descr="http://stpohv.minobr63.ru/wp-content/uploads/2015/12/3801_7-15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pohv.minobr63.ru/wp-content/uploads/2015/12/3801_7-15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71" cy="22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78F"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464684A" wp14:editId="6B0194AE">
            <wp:extent cx="2338754" cy="2338754"/>
            <wp:effectExtent l="0" t="0" r="4445" b="4445"/>
            <wp:docPr id="10" name="Рисунок 10" descr="http://stpohv.minobr63.ru/wp-content/uploads/2015/12/3801_4-150x15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pohv.minobr63.ru/wp-content/uploads/2015/12/3801_4-150x15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54" cy="233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E" w:rsidRPr="0068087E" w:rsidRDefault="00F4778F" w:rsidP="00F4778F">
      <w:pPr>
        <w:shd w:val="clear" w:color="auto" w:fill="FFFFFF"/>
        <w:tabs>
          <w:tab w:val="left" w:pos="3586"/>
        </w:tabs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  <w:tab/>
        <w:t xml:space="preserve">    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</w:p>
    <w:p w:rsidR="0068087E" w:rsidRPr="0068087E" w:rsidRDefault="00F4778F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3E155ECE" wp14:editId="54E2E62B">
            <wp:extent cx="2338754" cy="2338754"/>
            <wp:effectExtent l="0" t="0" r="4445" b="4445"/>
            <wp:docPr id="12" name="Рисунок 12" descr="http://stpohv.minobr63.ru/wp-content/uploads/2015/12/3801_3-150x15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pohv.minobr63.ru/wp-content/uploads/2015/12/3801_3-150x15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34" cy="23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5AD716F" wp14:editId="79E59E11">
            <wp:extent cx="2338754" cy="2338754"/>
            <wp:effectExtent l="0" t="0" r="4445" b="4445"/>
            <wp:docPr id="14" name="Рисунок 14" descr="http://stpohv.minobr63.ru/wp-content/uploads/2015/12/3801_2-150x15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pohv.minobr63.ru/wp-content/uploads/2015/12/3801_2-150x15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34" cy="23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E" w:rsidRPr="0068087E" w:rsidRDefault="00F4778F" w:rsidP="00F4778F">
      <w:pPr>
        <w:shd w:val="clear" w:color="auto" w:fill="FFFFFF"/>
        <w:tabs>
          <w:tab w:val="left" w:pos="3969"/>
        </w:tabs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  <w:tab/>
        <w:t xml:space="preserve">         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</w:p>
    <w:p w:rsidR="0068087E" w:rsidRPr="0068087E" w:rsidRDefault="00F4778F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noProof/>
          <w:color w:val="0C798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A4AF00E" wp14:editId="57E82A44">
            <wp:extent cx="2338754" cy="2338754"/>
            <wp:effectExtent l="0" t="0" r="4445" b="4445"/>
            <wp:docPr id="15" name="Рисунок 15" descr="http://stpohv.minobr63.ru/wp-content/uploads/2015/12/3801_1-150x150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pohv.minobr63.ru/wp-content/uploads/2015/12/3801_1-150x150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34" cy="23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E" w:rsidRPr="0068087E" w:rsidRDefault="0068087E" w:rsidP="0068087E">
      <w:pPr>
        <w:shd w:val="clear" w:color="auto" w:fill="FFFFFF"/>
        <w:spacing w:after="0" w:line="240" w:lineRule="auto"/>
        <w:ind w:right="60"/>
        <w:textAlignment w:val="baseline"/>
        <w:rPr>
          <w:rFonts w:ascii="inherit" w:eastAsia="Times New Roman" w:hAnsi="inherit" w:cs="Arial"/>
          <w:b/>
          <w:bCs/>
          <w:color w:val="010101"/>
          <w:sz w:val="27"/>
          <w:szCs w:val="27"/>
          <w:lang w:eastAsia="ru-RU"/>
        </w:rPr>
      </w:pP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Терроризм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 (лат. </w:t>
      </w:r>
      <w:r w:rsidRPr="0068087E">
        <w:rPr>
          <w:rFonts w:ascii="inherit" w:eastAsia="Times New Roman" w:hAnsi="inherit" w:cs="Arial"/>
          <w:i/>
          <w:iCs/>
          <w:color w:val="010101"/>
          <w:sz w:val="27"/>
          <w:szCs w:val="27"/>
          <w:bdr w:val="none" w:sz="0" w:space="0" w:color="auto" w:frame="1"/>
          <w:lang w:eastAsia="ru-RU"/>
        </w:rPr>
        <w:t>terror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 — ужас) — общественно опасная деятельность, заключающаяся в сознательном, целенаправленном применении насилия путем захвата заложников, поджогов, убийств, пыток, взрывов, запугивания населения и органов власти или совершения других посягательств на жизнь или здоровье ни в чем не повинных людей или угрозы совершения преступных действий с целью достижения своих целей.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Противодействие терроризму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 — деятельность органов государственной власти и органов местного самоуправления по:</w:t>
      </w:r>
    </w:p>
    <w:p w:rsidR="0068087E" w:rsidRPr="0068087E" w:rsidRDefault="0068087E" w:rsidP="0068087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68087E" w:rsidRPr="0068087E" w:rsidRDefault="0068087E" w:rsidP="0068087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выявлению, предупреждению, пресечению, раскрытию и расследованию террористического акта (борьба с терроризмом);</w:t>
      </w:r>
    </w:p>
    <w:p w:rsidR="0068087E" w:rsidRPr="0068087E" w:rsidRDefault="0068087E" w:rsidP="0068087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минимизации и (или) ликвидации последствий проявлений терроризма.</w:t>
      </w:r>
    </w:p>
    <w:p w:rsidR="0068087E" w:rsidRPr="0068087E" w:rsidRDefault="0068087E" w:rsidP="006808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Профилактика террор</w:t>
      </w:r>
      <w:r w:rsidR="00F4778F">
        <w:rPr>
          <w:rFonts w:ascii="inherit" w:eastAsia="Times New Roman" w:hAnsi="inherit" w:cs="Arial"/>
          <w:b/>
          <w:bCs/>
          <w:color w:val="010101"/>
          <w:sz w:val="27"/>
          <w:szCs w:val="27"/>
          <w:bdr w:val="none" w:sz="0" w:space="0" w:color="auto" w:frame="1"/>
          <w:lang w:eastAsia="ru-RU"/>
        </w:rPr>
        <w:t>изма  и экстремизма в МКОУ «Стальская СОШ №2»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 организуется в соответствии с требованиями  Федерального  закона от 06.03.2006 г. № 35-ФЗ «О противодействии терроризму» и Федерального закона  № 114-ФЗ от 25.07.2002 г. «О противодействии экстремистской  деятельности».</w:t>
      </w:r>
    </w:p>
    <w:p w:rsidR="0068087E" w:rsidRPr="0068087E" w:rsidRDefault="00F4778F" w:rsidP="0068087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lastRenderedPageBreak/>
        <w:t>В у</w:t>
      </w:r>
      <w:r w:rsidR="0068087E"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чреждении разработан паспорт комплексной  безопасности,  разработан и утвержден План по противодействию терроризму и экстремизму,  направленный на со</w:t>
      </w:r>
      <w:r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 xml:space="preserve">здание в школе </w:t>
      </w:r>
      <w:r w:rsidR="0068087E"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 xml:space="preserve"> комплексной системы по профилактике и предупреждению чрезвычайных ситуаций.</w:t>
      </w:r>
    </w:p>
    <w:p w:rsidR="0068087E" w:rsidRPr="0068087E" w:rsidRDefault="0068087E" w:rsidP="0068087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10101"/>
          <w:sz w:val="27"/>
          <w:szCs w:val="27"/>
          <w:lang w:eastAsia="ru-RU"/>
        </w:rPr>
      </w:pP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Разработаны  инструкции по дейст</w:t>
      </w:r>
      <w:r w:rsidR="004D6253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виям обучающихся и учителей</w:t>
      </w:r>
      <w:r w:rsidRPr="0068087E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 xml:space="preserve"> при угрозе и возникновении чрезвычайных ситуаций, связанных с террористическими актами.  Проводится инструктаж с сотрудниками по действиям в чрезвычайных ситуациях, связанных с </w:t>
      </w:r>
      <w:r w:rsidR="004D6253">
        <w:rPr>
          <w:rFonts w:ascii="inherit" w:eastAsia="Times New Roman" w:hAnsi="inherit" w:cs="Arial"/>
          <w:color w:val="010101"/>
          <w:sz w:val="27"/>
          <w:szCs w:val="27"/>
          <w:lang w:eastAsia="ru-RU"/>
        </w:rPr>
        <w:t>террористическими актам. </w:t>
      </w:r>
      <w:bookmarkStart w:id="0" w:name="_GoBack"/>
      <w:bookmarkEnd w:id="0"/>
    </w:p>
    <w:p w:rsidR="00D913A4" w:rsidRDefault="00D913A4"/>
    <w:sectPr w:rsidR="00D9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37F5"/>
    <w:multiLevelType w:val="multilevel"/>
    <w:tmpl w:val="FDD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88"/>
    <w:rsid w:val="004D6253"/>
    <w:rsid w:val="0068087E"/>
    <w:rsid w:val="00865288"/>
    <w:rsid w:val="00D913A4"/>
    <w:rsid w:val="00F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34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62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pohv.minobr63.ru/3801_4/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stpohv.minobr63.ru/3801_8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tpohv.minobr63.ru/3801_2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mailto:fsb@fsb.ru" TargetMode="External"/><Relationship Id="rId11" Type="http://schemas.openxmlformats.org/officeDocument/2006/relationships/hyperlink" Target="http://stpohv.minobr63.ru/3801_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pohv.minobr63.ru/3801_3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tpohv.minobr63.ru/3801_1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pohv.minobr63.ru/3801_5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омар</cp:lastModifiedBy>
  <cp:revision>5</cp:revision>
  <dcterms:created xsi:type="dcterms:W3CDTF">2020-12-14T19:29:00Z</dcterms:created>
  <dcterms:modified xsi:type="dcterms:W3CDTF">2020-12-15T19:46:00Z</dcterms:modified>
</cp:coreProperties>
</file>